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spacing w:lineRule="auto" w:line="240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spacing w:lineRule="auto" w:line="240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spacing w:lineRule="auto" w:line="240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spacing w:lineRule="auto" w:line="240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40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spacing w:lineRule="auto" w:line="240"/>
        <w:ind w:left="6973" w:hanging="7080"/>
        <w:jc w:val="right"/>
        <w:rPr/>
      </w:pPr>
      <w:r>
        <w:rPr/>
      </w:r>
    </w:p>
    <w:p>
      <w:pPr>
        <w:pStyle w:val="Normal"/>
        <w:spacing w:lineRule="auto" w:line="240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spacing w:lineRule="auto" w:line="240"/>
        <w:ind w:left="7080" w:hanging="7080"/>
        <w:jc w:val="right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1"/>
        <w:spacing w:lineRule="auto" w:line="240"/>
        <w:rPr/>
      </w:pPr>
      <w:r>
        <w:rPr>
          <w:rFonts w:cs="Times New Roman" w:ascii="Times New Roman" w:hAnsi="Times New Roman"/>
        </w:rPr>
        <w:t>ТЕХНИЧЕСКОЕ ЗАДАНИЕ № СКС-2021-ХВ-ИП-6.1.19.2.14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  <w:t xml:space="preserve">На выполнение строительно-монтажных работ по объекту: </w:t>
      </w:r>
    </w:p>
    <w:p>
      <w:pPr>
        <w:pStyle w:val="Normal"/>
        <w:spacing w:lineRule="auto" w:line="240"/>
        <w:jc w:val="center"/>
        <w:rPr/>
      </w:pPr>
      <w:r>
        <w:rPr>
          <w:bCs/>
        </w:rPr>
        <w:t xml:space="preserve">«Многоквартирный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жилой дом со встроенно-пристроенными помещениями по адресу: г. Самара, Октябрьский район,  ул. Соколова/Ново-Садовая»</w:t>
      </w:r>
    </w:p>
    <w:p>
      <w:pPr>
        <w:pStyle w:val="Normal"/>
        <w:spacing w:lineRule="auto" w:line="240"/>
        <w:jc w:val="center"/>
        <w:rPr/>
      </w:pPr>
      <w:r>
        <w:rPr/>
      </w:r>
    </w:p>
    <w:tbl>
      <w:tblPr>
        <w:tblW w:w="10209" w:type="dxa"/>
        <w:jc w:val="left"/>
        <w:tblInd w:w="-54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263"/>
        <w:gridCol w:w="6406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действует на основании доверенности №20 от 20.02.2021г. т.+7(846)336-14-02, факс +7(846)336-89-05</w:t>
            </w:r>
          </w:p>
          <w:p>
            <w:pPr>
              <w:pStyle w:val="Normal"/>
              <w:spacing w:lineRule="auto" w:line="240"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капитального строительства к системам холодного водоснабжения</w:t>
            </w:r>
            <w:r>
              <w:rPr>
                <w:color w:val="000000"/>
                <w:lang w:eastAsia="zh-CN"/>
              </w:rPr>
              <w:t xml:space="preserve">. 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>г. Самара, Октябрьский район,  ул. Соколова/Ново-Садовая.</w:t>
            </w:r>
            <w:r>
              <w:rPr>
                <w:color w:val="000000"/>
                <w:lang w:eastAsia="zh-CN"/>
              </w:rPr>
              <w:t xml:space="preserve">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Источник финансирования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Цель и назначение работы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bookmarkStart w:id="0" w:name="__DdeLink__1431_3343912958"/>
            <w:r>
              <w:rPr/>
              <w:t>037.1-21-НВК</w:t>
            </w:r>
            <w:bookmarkEnd w:id="0"/>
          </w:p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Режим работы производства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1" w:name="__DdeLink__12694_1746079678"/>
            <w:r>
              <w:rPr/>
              <w:t xml:space="preserve"> 037.1-21-НВК  </w:t>
            </w:r>
            <w:bookmarkEnd w:id="1"/>
            <w:r>
              <w:rPr/>
              <w:t>и настоящим ТЗ.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 xml:space="preserve">6. Выполняет монтаж </w:t>
            </w:r>
            <w:r>
              <w:rPr/>
              <w:t>ПЭ трубы Д=225 мм в соответствии с проектом 037.1-21-НВК.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Исполнительная документация в соответствии с Приложением № 1 к ТЗ.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lineRule="auto" w:line="240"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Проект 037.1-21-НВК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bookmarkStart w:id="2" w:name="__DdeLink__13065_1746079678"/>
            <w:r>
              <w:rPr/>
              <w:t xml:space="preserve">В соответствии с проектом </w:t>
            </w:r>
            <w:bookmarkEnd w:id="2"/>
            <w:r>
              <w:rPr/>
              <w:t>037.1-21-НВК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037.1-21-НВК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037.1-21-НВК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</w:rPr>
              <w:t>25</w:t>
            </w:r>
            <w:bookmarkStart w:id="3" w:name="_GoBack"/>
            <w:r>
              <w:rPr>
                <w:rFonts w:cs="Tahoma"/>
              </w:rPr>
              <w:t xml:space="preserve"> к</w:t>
            </w:r>
            <w:bookmarkEnd w:id="3"/>
            <w:r>
              <w:rPr>
                <w:rFonts w:cs="Tahoma"/>
              </w:rPr>
              <w:t>алендарных дней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7.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6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F211-639A-477D-8518-54D4A34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LibreOffice/6.3.4.2$Windows_X86_64 LibreOffice_project/60da17e045e08f1793c57c00ba83cdfce946d0aa</Application>
  <Pages>5</Pages>
  <Words>1164</Words>
  <Characters>8577</Characters>
  <CharactersWithSpaces>10113</CharactersWithSpaces>
  <Paragraphs>137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2021-10-11T10:50:00Z</dcterms:created>
  <dc:creator>WASQ</dc:creator>
  <dc:description/>
  <dc:language>ru-RU</dc:language>
  <cp:lastModifiedBy/>
  <cp:lastPrinted>2018-09-17T13:38:00Z</cp:lastPrinted>
  <dcterms:modified xsi:type="dcterms:W3CDTF">2021-11-09T18:20:55Z</dcterms:modified>
  <cp:revision>13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